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A8588" w14:textId="25CABE9F" w:rsidR="0096610D" w:rsidRPr="0096610D" w:rsidRDefault="0096610D" w:rsidP="0096610D">
      <w:pPr>
        <w:pStyle w:val="a3"/>
        <w:tabs>
          <w:tab w:val="right" w:pos="9639"/>
        </w:tabs>
        <w:jc w:val="both"/>
        <w:rPr>
          <w:rFonts w:ascii="Times New Roman" w:hAnsi="Times New Roman"/>
          <w:sz w:val="24"/>
          <w:lang w:eastAsia="zh-CN"/>
        </w:rPr>
      </w:pPr>
      <w:r w:rsidRPr="0096610D">
        <w:rPr>
          <w:rFonts w:ascii="Times New Roman" w:hAnsi="Times New Roman"/>
          <w:sz w:val="24"/>
          <w:lang w:eastAsia="zh-CN"/>
        </w:rPr>
        <w:t>3GPP TSG-RAN WG2 Meeting RAN2#111 electronic</w:t>
      </w:r>
      <w:r w:rsidRPr="0096610D">
        <w:rPr>
          <w:rFonts w:ascii="Times New Roman" w:hAnsi="Times New Roman"/>
          <w:sz w:val="24"/>
          <w:lang w:eastAsia="zh-CN"/>
        </w:rPr>
        <w:tab/>
        <w:t>R2-</w:t>
      </w:r>
      <w:r w:rsidR="006E14EF" w:rsidRPr="006E14EF">
        <w:t xml:space="preserve"> </w:t>
      </w:r>
      <w:r w:rsidR="006E14EF" w:rsidRPr="006E14EF">
        <w:rPr>
          <w:rFonts w:ascii="Times New Roman" w:hAnsi="Times New Roman"/>
          <w:sz w:val="24"/>
          <w:lang w:eastAsia="zh-CN"/>
        </w:rPr>
        <w:t>2007478</w:t>
      </w:r>
    </w:p>
    <w:p w14:paraId="49718BB8" w14:textId="77777777" w:rsidR="0096610D" w:rsidRPr="0096610D" w:rsidRDefault="0096610D" w:rsidP="0096610D">
      <w:pPr>
        <w:pStyle w:val="a3"/>
        <w:tabs>
          <w:tab w:val="right" w:pos="9639"/>
        </w:tabs>
        <w:jc w:val="both"/>
        <w:rPr>
          <w:rFonts w:ascii="Times New Roman" w:hAnsi="Times New Roman"/>
          <w:bCs/>
          <w:sz w:val="24"/>
          <w:lang w:eastAsia="zh-CN"/>
        </w:rPr>
      </w:pPr>
      <w:r w:rsidRPr="0096610D">
        <w:rPr>
          <w:rFonts w:ascii="Times New Roman" w:hAnsi="Times New Roman"/>
          <w:bCs/>
          <w:sz w:val="24"/>
          <w:lang w:eastAsia="zh-CN"/>
        </w:rPr>
        <w:t>Onli</w:t>
      </w:r>
      <w:r w:rsidRPr="0096610D">
        <w:rPr>
          <w:rFonts w:ascii="Times New Roman" w:hAnsi="Times New Roman"/>
          <w:bCs/>
          <w:sz w:val="24"/>
        </w:rPr>
        <w:t>ne,</w:t>
      </w:r>
      <w:r w:rsidRPr="0096610D">
        <w:rPr>
          <w:rFonts w:ascii="Times New Roman" w:hAnsi="Times New Roman"/>
          <w:bCs/>
          <w:sz w:val="24"/>
          <w:lang w:eastAsia="zh-CN"/>
        </w:rPr>
        <w:t xml:space="preserve"> August 17th - 28th, 2020                                                     </w:t>
      </w:r>
    </w:p>
    <w:p w14:paraId="2409FF77" w14:textId="77777777" w:rsidR="0096610D" w:rsidRPr="0096610D" w:rsidRDefault="0096610D" w:rsidP="0096610D">
      <w:pPr>
        <w:rPr>
          <w:rFonts w:ascii="Times New Roman" w:hAnsi="Times New Roman"/>
          <w:b/>
          <w:color w:val="000000"/>
          <w:sz w:val="24"/>
          <w:szCs w:val="24"/>
        </w:rPr>
      </w:pPr>
    </w:p>
    <w:p w14:paraId="2E9A481B" w14:textId="50239CD6" w:rsidR="0096610D" w:rsidRPr="0096610D" w:rsidRDefault="0096610D" w:rsidP="0096610D">
      <w:pPr>
        <w:pStyle w:val="CRCoverPage"/>
        <w:spacing w:after="0"/>
        <w:jc w:val="both"/>
        <w:rPr>
          <w:rFonts w:ascii="Times New Roman" w:eastAsia="宋体" w:hAnsi="Times New Roman"/>
          <w:b/>
          <w:bCs/>
          <w:sz w:val="24"/>
          <w:lang w:eastAsia="zh-CN"/>
        </w:rPr>
      </w:pPr>
      <w:r w:rsidRPr="0096610D">
        <w:rPr>
          <w:rFonts w:ascii="Times New Roman" w:hAnsi="Times New Roman"/>
          <w:b/>
          <w:bCs/>
          <w:sz w:val="24"/>
        </w:rPr>
        <w:t>Agenda</w:t>
      </w:r>
      <w:r w:rsidRPr="0096610D">
        <w:rPr>
          <w:rFonts w:ascii="Times New Roman" w:eastAsia="宋体" w:hAnsi="Times New Roman"/>
          <w:b/>
          <w:bCs/>
          <w:kern w:val="2"/>
          <w:sz w:val="24"/>
          <w:szCs w:val="22"/>
          <w:lang w:val="en-US" w:eastAsia="zh-CN"/>
        </w:rPr>
        <w:t xml:space="preserve"> item:</w:t>
      </w:r>
      <w:r w:rsidRPr="0096610D">
        <w:rPr>
          <w:rFonts w:ascii="Times New Roman" w:eastAsia="宋体" w:hAnsi="Times New Roman"/>
          <w:b/>
          <w:bCs/>
          <w:kern w:val="2"/>
          <w:sz w:val="24"/>
          <w:szCs w:val="22"/>
          <w:lang w:val="en-US" w:eastAsia="zh-CN"/>
        </w:rPr>
        <w:tab/>
      </w:r>
      <w:r w:rsidRPr="0096610D">
        <w:rPr>
          <w:rFonts w:ascii="Times New Roman" w:eastAsia="宋体" w:hAnsi="Times New Roman"/>
          <w:b/>
          <w:bCs/>
          <w:kern w:val="2"/>
          <w:sz w:val="24"/>
          <w:szCs w:val="22"/>
          <w:lang w:val="en-US" w:eastAsia="zh-CN"/>
        </w:rPr>
        <w:tab/>
        <w:t>8.</w:t>
      </w:r>
      <w:r>
        <w:rPr>
          <w:rFonts w:ascii="Times New Roman" w:eastAsia="宋体" w:hAnsi="Times New Roman"/>
          <w:b/>
          <w:bCs/>
          <w:kern w:val="2"/>
          <w:sz w:val="24"/>
          <w:szCs w:val="22"/>
          <w:lang w:val="en-US" w:eastAsia="zh-CN"/>
        </w:rPr>
        <w:t>12</w:t>
      </w:r>
      <w:r w:rsidRPr="0096610D">
        <w:rPr>
          <w:rFonts w:ascii="Times New Roman" w:eastAsia="宋体" w:hAnsi="Times New Roman"/>
          <w:b/>
          <w:bCs/>
          <w:kern w:val="2"/>
          <w:sz w:val="24"/>
          <w:szCs w:val="22"/>
          <w:lang w:val="en-US" w:eastAsia="zh-CN"/>
        </w:rPr>
        <w:t>.2</w:t>
      </w:r>
      <w:r w:rsidR="000679A2">
        <w:rPr>
          <w:rFonts w:ascii="Times New Roman" w:eastAsia="宋体" w:hAnsi="Times New Roman"/>
          <w:b/>
          <w:bCs/>
          <w:kern w:val="2"/>
          <w:sz w:val="24"/>
          <w:szCs w:val="22"/>
          <w:lang w:val="en-US" w:eastAsia="zh-CN"/>
        </w:rPr>
        <w:t>.</w:t>
      </w:r>
      <w:r w:rsidR="000679A2">
        <w:rPr>
          <w:rFonts w:ascii="Times New Roman" w:eastAsia="宋体" w:hAnsi="Times New Roman" w:hint="eastAsia"/>
          <w:b/>
          <w:bCs/>
          <w:kern w:val="2"/>
          <w:sz w:val="24"/>
          <w:szCs w:val="22"/>
          <w:lang w:val="en-US" w:eastAsia="zh-CN"/>
        </w:rPr>
        <w:t>1</w:t>
      </w:r>
    </w:p>
    <w:p w14:paraId="6FCCFF69"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Source:</w:t>
      </w:r>
      <w:r w:rsidRPr="0096610D">
        <w:rPr>
          <w:rFonts w:ascii="Times New Roman" w:hAnsi="Times New Roman"/>
          <w:b/>
          <w:bCs/>
          <w:sz w:val="24"/>
        </w:rPr>
        <w:tab/>
      </w:r>
      <w:r w:rsidRPr="0096610D">
        <w:rPr>
          <w:rFonts w:ascii="Times New Roman" w:hAnsi="Times New Roman"/>
          <w:b/>
          <w:bCs/>
          <w:sz w:val="24"/>
        </w:rPr>
        <w:tab/>
      </w:r>
      <w:bookmarkStart w:id="0" w:name="OLE_LINK23"/>
      <w:bookmarkStart w:id="1" w:name="OLE_LINK24"/>
      <w:r w:rsidRPr="0096610D">
        <w:rPr>
          <w:rFonts w:ascii="Times New Roman" w:hAnsi="Times New Roman"/>
          <w:b/>
          <w:bCs/>
          <w:sz w:val="24"/>
        </w:rPr>
        <w:t>Lenovo, Motorola Mobility</w:t>
      </w:r>
      <w:bookmarkEnd w:id="0"/>
      <w:bookmarkEnd w:id="1"/>
    </w:p>
    <w:p w14:paraId="266F438D" w14:textId="671A703C" w:rsidR="0096610D" w:rsidRPr="0096610D" w:rsidRDefault="0096610D" w:rsidP="0096610D">
      <w:pPr>
        <w:spacing w:beforeLines="50" w:before="156" w:afterLines="50" w:after="156"/>
        <w:rPr>
          <w:rFonts w:ascii="Times New Roman" w:hAnsi="Times New Roman"/>
          <w:b/>
          <w:bCs/>
          <w:sz w:val="24"/>
          <w:lang w:val="en-GB"/>
        </w:rPr>
      </w:pPr>
      <w:r w:rsidRPr="0096610D">
        <w:rPr>
          <w:rFonts w:ascii="Times New Roman" w:hAnsi="Times New Roman"/>
          <w:b/>
          <w:bCs/>
          <w:sz w:val="24"/>
        </w:rPr>
        <w:t>Title:</w:t>
      </w:r>
      <w:r w:rsidRPr="0096610D">
        <w:rPr>
          <w:rFonts w:ascii="Times New Roman" w:hAnsi="Times New Roman"/>
          <w:b/>
          <w:bCs/>
          <w:sz w:val="24"/>
        </w:rPr>
        <w:tab/>
      </w:r>
      <w:r w:rsidRPr="0096610D">
        <w:rPr>
          <w:rFonts w:ascii="Times New Roman" w:hAnsi="Times New Roman"/>
          <w:b/>
          <w:bCs/>
          <w:sz w:val="24"/>
        </w:rPr>
        <w:tab/>
        <w:t xml:space="preserve">       </w:t>
      </w:r>
      <w:r w:rsidR="000679A2" w:rsidRPr="000679A2">
        <w:rPr>
          <w:rFonts w:ascii="Times New Roman" w:hAnsi="Times New Roman"/>
          <w:b/>
          <w:bCs/>
          <w:sz w:val="24"/>
        </w:rPr>
        <w:t>The principle to constrain reduced capability NR devices</w:t>
      </w:r>
    </w:p>
    <w:p w14:paraId="157F3AFD"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Document for:</w:t>
      </w:r>
      <w:r w:rsidRPr="0096610D">
        <w:rPr>
          <w:rFonts w:ascii="Times New Roman" w:hAnsi="Times New Roman"/>
          <w:b/>
          <w:bCs/>
          <w:sz w:val="24"/>
        </w:rPr>
        <w:tab/>
      </w:r>
      <w:r w:rsidRPr="0096610D">
        <w:rPr>
          <w:rFonts w:ascii="Times New Roman" w:hAnsi="Times New Roman"/>
          <w:b/>
          <w:bCs/>
          <w:sz w:val="24"/>
        </w:rPr>
        <w:tab/>
        <w:t>Discussion and Decision</w:t>
      </w:r>
    </w:p>
    <w:p w14:paraId="00E56C49" w14:textId="479AA285" w:rsidR="0096610D" w:rsidRPr="0096610D" w:rsidRDefault="0092224B" w:rsidP="00527D8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31354F" w14:textId="77777777" w:rsidR="006160E2" w:rsidRPr="006160E2"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 xml:space="preserve">In RAN#86, a new study item named “Reduced capability NR devices” was agreed. As described in the revised SID in RAN#88e [1], the intention is to study a UE feature and parameter list with lower end capabilities, relative to Rel.16 </w:t>
      </w:r>
      <w:proofErr w:type="spellStart"/>
      <w:r w:rsidRPr="006160E2">
        <w:rPr>
          <w:rFonts w:ascii="Times New Roman" w:hAnsi="Times New Roman"/>
          <w:sz w:val="20"/>
          <w:szCs w:val="20"/>
          <w:lang w:val="en-GB"/>
        </w:rPr>
        <w:t>eMBB</w:t>
      </w:r>
      <w:proofErr w:type="spellEnd"/>
      <w:r w:rsidRPr="006160E2">
        <w:rPr>
          <w:rFonts w:ascii="Times New Roman" w:hAnsi="Times New Roman"/>
          <w:sz w:val="20"/>
          <w:szCs w:val="20"/>
          <w:lang w:val="en-GB"/>
        </w:rPr>
        <w:t xml:space="preserve"> and URLLC, to serve the use cases of industrial wireless sensors, video surveillances and wearables. Two objectives to study, among others, are as below:</w:t>
      </w:r>
    </w:p>
    <w:p w14:paraId="25D6CF4D" w14:textId="77777777" w:rsidR="006160E2" w:rsidRPr="002C768E" w:rsidRDefault="006160E2" w:rsidP="006160E2">
      <w:pPr>
        <w:pStyle w:val="a6"/>
        <w:numPr>
          <w:ilvl w:val="0"/>
          <w:numId w:val="25"/>
        </w:numPr>
        <w:overflowPunct/>
        <w:autoSpaceDE/>
        <w:autoSpaceDN/>
        <w:adjustRightInd/>
        <w:spacing w:after="0"/>
        <w:ind w:right="-96" w:firstLineChars="0"/>
        <w:textAlignment w:val="auto"/>
        <w:rPr>
          <w:rFonts w:eastAsia="等线"/>
          <w:iCs/>
          <w:lang w:eastAsia="zh-CN"/>
        </w:rPr>
      </w:pPr>
      <w:r w:rsidRPr="002C768E">
        <w:rPr>
          <w:rFonts w:eastAsia="等线"/>
          <w:iCs/>
          <w:lang w:eastAsia="zh-CN"/>
        </w:rPr>
        <w:t xml:space="preserve">Study standardization framework and principles for how to define and constrain such reduced capabilities – considering definition of a limited set of one or more device types and considering how to ensure those device types are only used for the intended use cases </w:t>
      </w:r>
      <w:r w:rsidRPr="002C768E">
        <w:rPr>
          <w:lang w:eastAsia="ja-JP"/>
        </w:rPr>
        <w:t>[RAN2, RAN1]</w:t>
      </w:r>
      <w:r w:rsidRPr="002C768E">
        <w:rPr>
          <w:rFonts w:eastAsia="等线"/>
          <w:iCs/>
          <w:lang w:eastAsia="zh-CN"/>
        </w:rPr>
        <w:t>.</w:t>
      </w:r>
    </w:p>
    <w:p w14:paraId="3CDB7369" w14:textId="77777777" w:rsidR="006160E2" w:rsidRPr="002C768E" w:rsidRDefault="006160E2" w:rsidP="006160E2">
      <w:pPr>
        <w:pStyle w:val="a6"/>
        <w:numPr>
          <w:ilvl w:val="0"/>
          <w:numId w:val="25"/>
        </w:numPr>
        <w:overflowPunct/>
        <w:autoSpaceDE/>
        <w:autoSpaceDN/>
        <w:adjustRightInd/>
        <w:spacing w:after="120"/>
        <w:ind w:left="714" w:right="-96" w:firstLineChars="0" w:hanging="357"/>
        <w:textAlignment w:val="auto"/>
        <w:rPr>
          <w:rFonts w:eastAsia="等线"/>
          <w:iCs/>
          <w:lang w:eastAsia="zh-CN"/>
        </w:rPr>
      </w:pPr>
      <w:r w:rsidRPr="002C768E">
        <w:rPr>
          <w:rFonts w:eastAsia="等线"/>
          <w:iCs/>
          <w:lang w:eastAsia="zh-CN"/>
        </w:rPr>
        <w:t xml:space="preserve">Study functionality that will allow devices with reduced capabilities to be explicitly identifiable to networks and network operators, and allow operators to restrict their access, if desired </w:t>
      </w:r>
      <w:r w:rsidRPr="002C768E">
        <w:rPr>
          <w:lang w:eastAsia="ja-JP"/>
        </w:rPr>
        <w:t>[RAN2, RAN1]</w:t>
      </w:r>
      <w:r w:rsidRPr="002C768E">
        <w:rPr>
          <w:rFonts w:eastAsia="等线"/>
          <w:iCs/>
          <w:lang w:eastAsia="zh-CN"/>
        </w:rPr>
        <w:t>.</w:t>
      </w:r>
    </w:p>
    <w:p w14:paraId="7C8D4CCF" w14:textId="49E74857" w:rsidR="005B2B4D" w:rsidRPr="0096610D"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 xml:space="preserve">Based on the SID, we give our views on the access restriction and principles for </w:t>
      </w:r>
      <w:proofErr w:type="spellStart"/>
      <w:r w:rsidRPr="006160E2">
        <w:rPr>
          <w:rFonts w:ascii="Times New Roman" w:hAnsi="Times New Roman"/>
          <w:sz w:val="20"/>
          <w:szCs w:val="20"/>
          <w:lang w:val="en-GB"/>
        </w:rPr>
        <w:t>RedCap</w:t>
      </w:r>
      <w:proofErr w:type="spellEnd"/>
      <w:r w:rsidRPr="006160E2">
        <w:rPr>
          <w:rFonts w:ascii="Times New Roman" w:hAnsi="Times New Roman"/>
          <w:sz w:val="20"/>
          <w:szCs w:val="20"/>
          <w:lang w:val="en-GB"/>
        </w:rPr>
        <w:t xml:space="preserve"> devices in this contribution.</w:t>
      </w:r>
    </w:p>
    <w:p w14:paraId="53C8A91E" w14:textId="77777777" w:rsidR="006D622B" w:rsidRPr="005B2B4D" w:rsidRDefault="006D622B" w:rsidP="006D622B">
      <w:pPr>
        <w:rPr>
          <w:rFonts w:ascii="Times New Roman" w:hAnsi="Times New Roman"/>
          <w:sz w:val="20"/>
          <w:szCs w:val="20"/>
        </w:rPr>
      </w:pPr>
    </w:p>
    <w:p w14:paraId="540CD0EB"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2" w:name="Proposal_Beacon"/>
      <w:r>
        <w:rPr>
          <w:rFonts w:cs="Arial" w:hint="eastAsia"/>
          <w:b/>
          <w:sz w:val="32"/>
          <w:szCs w:val="32"/>
          <w:lang w:eastAsia="zh-CN"/>
        </w:rPr>
        <w:t>Discussion</w:t>
      </w:r>
    </w:p>
    <w:p w14:paraId="646E5D70" w14:textId="77777777" w:rsidR="00A4689B" w:rsidRPr="007525B5" w:rsidRDefault="00A4689B" w:rsidP="00A4689B">
      <w:pPr>
        <w:spacing w:beforeLines="50" w:before="156" w:afterLines="50" w:after="156"/>
        <w:rPr>
          <w:rFonts w:ascii="Times New Roman" w:hAnsi="Times New Roman"/>
          <w:sz w:val="20"/>
          <w:szCs w:val="20"/>
          <w:lang w:val="en-GB"/>
        </w:rPr>
      </w:pPr>
      <w:r w:rsidRPr="007525B5">
        <w:rPr>
          <w:rFonts w:ascii="Times New Roman" w:hAnsi="Times New Roman"/>
          <w:sz w:val="20"/>
          <w:szCs w:val="20"/>
          <w:lang w:val="en-GB"/>
        </w:rPr>
        <w:t>Refer to the legacy principles, to perform the access restriction on the redcap devices, there could be the following issues to be considered.</w:t>
      </w:r>
    </w:p>
    <w:p w14:paraId="79037AA9" w14:textId="77777777" w:rsidR="00A4689B" w:rsidRPr="000B2F86" w:rsidRDefault="00A4689B" w:rsidP="00A4689B">
      <w:pPr>
        <w:spacing w:beforeLines="50" w:before="156" w:afterLines="50" w:after="156"/>
        <w:rPr>
          <w:rFonts w:ascii="Times New Roman" w:eastAsia="等线" w:hAnsi="Times New Roman"/>
          <w:i/>
          <w:sz w:val="20"/>
          <w:szCs w:val="20"/>
          <w:u w:val="single"/>
        </w:rPr>
      </w:pPr>
      <w:r w:rsidRPr="000B2F86">
        <w:rPr>
          <w:rFonts w:ascii="Times New Roman" w:eastAsia="等线" w:hAnsi="Times New Roman"/>
          <w:i/>
          <w:sz w:val="20"/>
          <w:szCs w:val="20"/>
          <w:u w:val="single"/>
        </w:rPr>
        <w:t xml:space="preserve">Case 1: is a common restriction for the </w:t>
      </w:r>
      <w:proofErr w:type="spellStart"/>
      <w:r w:rsidRPr="000B2F86">
        <w:rPr>
          <w:rFonts w:ascii="Times New Roman" w:eastAsia="等线" w:hAnsi="Times New Roman"/>
          <w:i/>
          <w:sz w:val="20"/>
          <w:szCs w:val="20"/>
          <w:u w:val="single"/>
        </w:rPr>
        <w:t>RedCap</w:t>
      </w:r>
      <w:proofErr w:type="spellEnd"/>
      <w:r w:rsidRPr="000B2F86">
        <w:rPr>
          <w:rFonts w:ascii="Times New Roman" w:eastAsia="等线" w:hAnsi="Times New Roman"/>
          <w:i/>
          <w:sz w:val="20"/>
          <w:szCs w:val="20"/>
          <w:u w:val="single"/>
        </w:rPr>
        <w:t xml:space="preserve"> devices applicable?</w:t>
      </w:r>
    </w:p>
    <w:p w14:paraId="15859198" w14:textId="510EDB15"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The legacy mechanism of ‘</w:t>
      </w:r>
      <w:proofErr w:type="spellStart"/>
      <w:r w:rsidRPr="00A4689B">
        <w:rPr>
          <w:rFonts w:ascii="Times New Roman" w:hAnsi="Times New Roman"/>
          <w:sz w:val="20"/>
          <w:szCs w:val="20"/>
          <w:lang w:val="en-GB"/>
        </w:rPr>
        <w:t>cellBarred</w:t>
      </w:r>
      <w:proofErr w:type="spellEnd"/>
      <w:r w:rsidRPr="00A4689B">
        <w:rPr>
          <w:rFonts w:ascii="Times New Roman" w:hAnsi="Times New Roman"/>
          <w:sz w:val="20"/>
          <w:szCs w:val="20"/>
          <w:lang w:val="en-GB"/>
        </w:rPr>
        <w:t xml:space="preserve">’ is a simple and efficient one. But the legacy mechanism cannot differ the devices with reduced capabilities from the regular devices. Considering the objective of WI which is to allow operators to restrict their access, there is the necessity to distinguish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NR devices from the regular devices. As we </w:t>
      </w:r>
      <w:r w:rsidR="00B50FFD" w:rsidRPr="00A4689B">
        <w:rPr>
          <w:rFonts w:ascii="Times New Roman" w:hAnsi="Times New Roman"/>
          <w:sz w:val="20"/>
          <w:szCs w:val="20"/>
          <w:lang w:val="en-GB"/>
        </w:rPr>
        <w:t>analyse</w:t>
      </w:r>
      <w:r w:rsidRPr="00A4689B">
        <w:rPr>
          <w:rFonts w:ascii="Times New Roman" w:hAnsi="Times New Roman"/>
          <w:sz w:val="20"/>
          <w:szCs w:val="20"/>
          <w:lang w:val="en-GB"/>
        </w:rPr>
        <w:t xml:space="preserve"> in another contribution [</w:t>
      </w:r>
      <w:r w:rsidR="00C018C1">
        <w:rPr>
          <w:rFonts w:ascii="Times New Roman" w:hAnsi="Times New Roman"/>
          <w:sz w:val="20"/>
          <w:szCs w:val="20"/>
          <w:lang w:val="en-GB"/>
        </w:rPr>
        <w:t>2</w:t>
      </w:r>
      <w:r w:rsidRPr="00A4689B">
        <w:rPr>
          <w:rFonts w:ascii="Times New Roman" w:hAnsi="Times New Roman"/>
          <w:sz w:val="20"/>
          <w:szCs w:val="20"/>
          <w:lang w:val="en-GB"/>
        </w:rPr>
        <w:t xml:space="preserve">],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NR device</w:t>
      </w:r>
      <w:r w:rsidR="00F96DBE">
        <w:rPr>
          <w:rFonts w:ascii="Times New Roman" w:hAnsi="Times New Roman"/>
          <w:sz w:val="20"/>
          <w:szCs w:val="20"/>
          <w:lang w:val="en-GB"/>
        </w:rPr>
        <w:t>s</w:t>
      </w:r>
      <w:r w:rsidRPr="00A4689B">
        <w:rPr>
          <w:rFonts w:ascii="Times New Roman" w:hAnsi="Times New Roman"/>
          <w:sz w:val="20"/>
          <w:szCs w:val="20"/>
          <w:lang w:val="en-GB"/>
        </w:rPr>
        <w:t xml:space="preserve"> should be distinguished from the regular NR devices and the distinction could be by the device type of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Then the </w:t>
      </w:r>
      <w:proofErr w:type="spellStart"/>
      <w:r w:rsidRPr="00A4689B">
        <w:rPr>
          <w:rFonts w:ascii="Times New Roman" w:hAnsi="Times New Roman"/>
          <w:sz w:val="20"/>
          <w:szCs w:val="20"/>
          <w:lang w:val="en-GB"/>
        </w:rPr>
        <w:t>gNB</w:t>
      </w:r>
      <w:proofErr w:type="spellEnd"/>
      <w:r w:rsidRPr="00A4689B">
        <w:rPr>
          <w:rFonts w:ascii="Times New Roman" w:hAnsi="Times New Roman"/>
          <w:sz w:val="20"/>
          <w:szCs w:val="20"/>
          <w:lang w:val="en-GB"/>
        </w:rPr>
        <w:t xml:space="preserve"> could control the access of all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through the separate indication of </w:t>
      </w:r>
      <w:proofErr w:type="spellStart"/>
      <w:r w:rsidRPr="00A4689B">
        <w:rPr>
          <w:rFonts w:ascii="Times New Roman" w:hAnsi="Times New Roman"/>
          <w:sz w:val="20"/>
          <w:szCs w:val="20"/>
          <w:lang w:val="en-GB"/>
        </w:rPr>
        <w:t>Cellbarred</w:t>
      </w:r>
      <w:proofErr w:type="spellEnd"/>
      <w:r w:rsidRPr="00A4689B">
        <w:rPr>
          <w:rFonts w:ascii="Times New Roman" w:hAnsi="Times New Roman"/>
          <w:sz w:val="20"/>
          <w:szCs w:val="20"/>
          <w:lang w:val="en-GB"/>
        </w:rPr>
        <w:t xml:space="preserve"> in MIB. For example, a separate IE </w:t>
      </w:r>
      <w:proofErr w:type="spellStart"/>
      <w:r w:rsidRPr="00A4689B">
        <w:rPr>
          <w:rFonts w:ascii="Times New Roman" w:hAnsi="Times New Roman"/>
          <w:sz w:val="20"/>
          <w:szCs w:val="20"/>
          <w:lang w:val="en-GB"/>
        </w:rPr>
        <w:t>cellBarredforRedCap</w:t>
      </w:r>
      <w:proofErr w:type="spellEnd"/>
      <w:r w:rsidRPr="00A4689B">
        <w:rPr>
          <w:rFonts w:ascii="Times New Roman" w:hAnsi="Times New Roman"/>
          <w:sz w:val="20"/>
          <w:szCs w:val="20"/>
          <w:lang w:val="en-GB"/>
        </w:rPr>
        <w:t xml:space="preserve"> is broadcasted as “barred", all of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devices are not allowed to access to the cell.</w:t>
      </w:r>
    </w:p>
    <w:p w14:paraId="6DBC1631" w14:textId="4CEA5219" w:rsidR="00A4689B" w:rsidRPr="000B2F86" w:rsidRDefault="00A4689B" w:rsidP="000B2F86">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1: Restriction for all </w:t>
      </w:r>
      <w:proofErr w:type="spellStart"/>
      <w:r w:rsidRPr="00704946">
        <w:rPr>
          <w:rFonts w:ascii="Times New Roman" w:eastAsia="等线" w:hAnsi="Times New Roman"/>
          <w:b/>
          <w:sz w:val="20"/>
          <w:szCs w:val="20"/>
        </w:rPr>
        <w:t>RedCap</w:t>
      </w:r>
      <w:proofErr w:type="spellEnd"/>
      <w:r w:rsidRPr="00704946">
        <w:rPr>
          <w:rFonts w:ascii="Times New Roman" w:eastAsia="等线" w:hAnsi="Times New Roman"/>
          <w:b/>
          <w:sz w:val="20"/>
          <w:szCs w:val="20"/>
        </w:rPr>
        <w:t xml:space="preserve"> devices accessing to a cell is supported by broadcasting a separate </w:t>
      </w:r>
      <w:proofErr w:type="spellStart"/>
      <w:r w:rsidRPr="00704946">
        <w:rPr>
          <w:rFonts w:ascii="Times New Roman" w:eastAsia="等线" w:hAnsi="Times New Roman"/>
          <w:b/>
          <w:sz w:val="20"/>
          <w:szCs w:val="20"/>
        </w:rPr>
        <w:t>cellbarred</w:t>
      </w:r>
      <w:proofErr w:type="spellEnd"/>
      <w:r w:rsidRPr="00704946">
        <w:rPr>
          <w:rFonts w:ascii="Times New Roman" w:eastAsia="等线" w:hAnsi="Times New Roman" w:hint="eastAsia"/>
          <w:b/>
          <w:sz w:val="20"/>
          <w:szCs w:val="20"/>
        </w:rPr>
        <w:t>-</w:t>
      </w:r>
      <w:r w:rsidRPr="00704946">
        <w:rPr>
          <w:rFonts w:ascii="Times New Roman" w:eastAsia="等线" w:hAnsi="Times New Roman"/>
          <w:b/>
          <w:sz w:val="20"/>
          <w:szCs w:val="20"/>
        </w:rPr>
        <w:t xml:space="preserve">like IE for </w:t>
      </w:r>
      <w:proofErr w:type="spellStart"/>
      <w:r w:rsidRPr="00704946">
        <w:rPr>
          <w:rFonts w:ascii="Times New Roman" w:eastAsia="等线" w:hAnsi="Times New Roman"/>
          <w:b/>
          <w:sz w:val="20"/>
          <w:szCs w:val="20"/>
        </w:rPr>
        <w:t>RedCap</w:t>
      </w:r>
      <w:proofErr w:type="spellEnd"/>
      <w:r w:rsidRPr="00704946">
        <w:rPr>
          <w:rFonts w:ascii="Times New Roman" w:eastAsia="等线" w:hAnsi="Times New Roman"/>
          <w:b/>
          <w:sz w:val="20"/>
          <w:szCs w:val="20"/>
        </w:rPr>
        <w:t xml:space="preserve"> devices.</w:t>
      </w:r>
    </w:p>
    <w:p w14:paraId="63AC5973" w14:textId="77777777" w:rsidR="00A4689B" w:rsidRPr="000B2F86" w:rsidRDefault="00A4689B" w:rsidP="00A4689B">
      <w:pPr>
        <w:spacing w:beforeLines="50" w:before="156" w:afterLines="50" w:after="156"/>
        <w:rPr>
          <w:rFonts w:ascii="Times New Roman" w:eastAsia="等线" w:hAnsi="Times New Roman"/>
          <w:i/>
          <w:sz w:val="20"/>
          <w:szCs w:val="20"/>
          <w:u w:val="single"/>
        </w:rPr>
      </w:pPr>
      <w:r w:rsidRPr="000B2F86">
        <w:rPr>
          <w:rFonts w:ascii="Times New Roman" w:eastAsia="等线" w:hAnsi="Times New Roman"/>
          <w:i/>
          <w:sz w:val="20"/>
          <w:szCs w:val="20"/>
          <w:u w:val="single"/>
        </w:rPr>
        <w:t xml:space="preserve">Case 2: is partial barring for the </w:t>
      </w:r>
      <w:proofErr w:type="spellStart"/>
      <w:r w:rsidRPr="000B2F86">
        <w:rPr>
          <w:rFonts w:ascii="Times New Roman" w:eastAsia="等线" w:hAnsi="Times New Roman"/>
          <w:i/>
          <w:sz w:val="20"/>
          <w:szCs w:val="20"/>
          <w:u w:val="single"/>
        </w:rPr>
        <w:t>RedCap</w:t>
      </w:r>
      <w:proofErr w:type="spellEnd"/>
      <w:r w:rsidRPr="000B2F86">
        <w:rPr>
          <w:rFonts w:ascii="Times New Roman" w:eastAsia="等线" w:hAnsi="Times New Roman"/>
          <w:i/>
          <w:sz w:val="20"/>
          <w:szCs w:val="20"/>
          <w:u w:val="single"/>
        </w:rPr>
        <w:t xml:space="preserve"> devices needed?</w:t>
      </w:r>
    </w:p>
    <w:p w14:paraId="65F07029"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On the other hand, </w:t>
      </w:r>
      <w:bookmarkStart w:id="3" w:name="OLE_LINK2"/>
      <w:r w:rsidRPr="00A4689B">
        <w:rPr>
          <w:rFonts w:ascii="Times New Roman" w:hAnsi="Times New Roman"/>
          <w:sz w:val="20"/>
          <w:szCs w:val="20"/>
          <w:lang w:val="en-GB"/>
        </w:rPr>
        <w:t xml:space="preserve">according to the updated SID in RAN#88e, the requirements for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use cases are summarized in Table 1. There is different requirement for each use case which is more like the traffic requirement of the regular NR device. </w:t>
      </w:r>
    </w:p>
    <w:p w14:paraId="540BB780" w14:textId="77777777" w:rsidR="00A4689B" w:rsidRPr="00A4689B" w:rsidRDefault="00A4689B" w:rsidP="000B2F86">
      <w:pPr>
        <w:spacing w:beforeLines="50" w:before="156" w:afterLines="50" w:after="156"/>
        <w:jc w:val="center"/>
        <w:rPr>
          <w:rFonts w:ascii="Times New Roman" w:hAnsi="Times New Roman"/>
          <w:sz w:val="20"/>
          <w:szCs w:val="20"/>
          <w:lang w:val="en-GB"/>
        </w:rPr>
      </w:pPr>
      <w:r w:rsidRPr="00A4689B">
        <w:rPr>
          <w:rFonts w:ascii="Times New Roman" w:hAnsi="Times New Roman"/>
          <w:sz w:val="20"/>
          <w:szCs w:val="20"/>
          <w:lang w:val="en-GB"/>
        </w:rPr>
        <w:lastRenderedPageBreak/>
        <w:t xml:space="preserve">Table 1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use case requirements</w:t>
      </w:r>
    </w:p>
    <w:tbl>
      <w:tblPr>
        <w:tblStyle w:val="af1"/>
        <w:tblW w:w="0" w:type="auto"/>
        <w:tblLook w:val="04A0" w:firstRow="1" w:lastRow="0" w:firstColumn="1" w:lastColumn="0" w:noHBand="0" w:noVBand="1"/>
      </w:tblPr>
      <w:tblGrid>
        <w:gridCol w:w="1861"/>
        <w:gridCol w:w="1861"/>
        <w:gridCol w:w="1861"/>
        <w:gridCol w:w="1862"/>
        <w:gridCol w:w="1862"/>
      </w:tblGrid>
      <w:tr w:rsidR="00A4689B" w:rsidRPr="00A4689B" w14:paraId="3717AAAD" w14:textId="77777777" w:rsidTr="002953BC">
        <w:tc>
          <w:tcPr>
            <w:tcW w:w="1861" w:type="dxa"/>
          </w:tcPr>
          <w:p w14:paraId="608B84D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Use cases</w:t>
            </w:r>
          </w:p>
        </w:tc>
        <w:tc>
          <w:tcPr>
            <w:tcW w:w="1861" w:type="dxa"/>
          </w:tcPr>
          <w:p w14:paraId="6373EFB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Reference bit rate</w:t>
            </w:r>
          </w:p>
        </w:tc>
        <w:tc>
          <w:tcPr>
            <w:tcW w:w="1861" w:type="dxa"/>
          </w:tcPr>
          <w:p w14:paraId="71BF2CF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Latency</w:t>
            </w:r>
          </w:p>
        </w:tc>
        <w:tc>
          <w:tcPr>
            <w:tcW w:w="1862" w:type="dxa"/>
          </w:tcPr>
          <w:p w14:paraId="4E2E085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Reliability</w:t>
            </w:r>
          </w:p>
        </w:tc>
        <w:tc>
          <w:tcPr>
            <w:tcW w:w="1862" w:type="dxa"/>
          </w:tcPr>
          <w:p w14:paraId="57035D1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Battery life</w:t>
            </w:r>
          </w:p>
        </w:tc>
      </w:tr>
      <w:tr w:rsidR="00A4689B" w:rsidRPr="00A4689B" w14:paraId="6917A1C0" w14:textId="77777777" w:rsidTr="002953BC">
        <w:tc>
          <w:tcPr>
            <w:tcW w:w="1861" w:type="dxa"/>
          </w:tcPr>
          <w:p w14:paraId="21FB8E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Industrial wireless sensors </w:t>
            </w:r>
          </w:p>
        </w:tc>
        <w:tc>
          <w:tcPr>
            <w:tcW w:w="1861" w:type="dxa"/>
          </w:tcPr>
          <w:p w14:paraId="4AA34F01"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&lt;2Mbps</w:t>
            </w:r>
          </w:p>
        </w:tc>
        <w:tc>
          <w:tcPr>
            <w:tcW w:w="1861" w:type="dxa"/>
          </w:tcPr>
          <w:p w14:paraId="761ABA1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&lt;100ms;</w:t>
            </w:r>
          </w:p>
          <w:p w14:paraId="7A6217A9"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5-10ms for safety related sensors.</w:t>
            </w:r>
          </w:p>
        </w:tc>
        <w:tc>
          <w:tcPr>
            <w:tcW w:w="1862" w:type="dxa"/>
          </w:tcPr>
          <w:p w14:paraId="2032B2CC"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w:t>
            </w:r>
          </w:p>
        </w:tc>
        <w:tc>
          <w:tcPr>
            <w:tcW w:w="1862" w:type="dxa"/>
          </w:tcPr>
          <w:p w14:paraId="5401EE1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At least few years. </w:t>
            </w:r>
          </w:p>
        </w:tc>
      </w:tr>
      <w:tr w:rsidR="00A4689B" w:rsidRPr="00A4689B" w14:paraId="734D0DCD" w14:textId="77777777" w:rsidTr="002953BC">
        <w:tc>
          <w:tcPr>
            <w:tcW w:w="1861" w:type="dxa"/>
          </w:tcPr>
          <w:p w14:paraId="4AA521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Video surveillance</w:t>
            </w:r>
          </w:p>
        </w:tc>
        <w:tc>
          <w:tcPr>
            <w:tcW w:w="1861" w:type="dxa"/>
          </w:tcPr>
          <w:p w14:paraId="3C0FD57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2-4Mbps for economic video;</w:t>
            </w:r>
          </w:p>
          <w:p w14:paraId="467D6EC7"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7.5-25Mbps for high-end video</w:t>
            </w:r>
          </w:p>
        </w:tc>
        <w:tc>
          <w:tcPr>
            <w:tcW w:w="1861" w:type="dxa"/>
          </w:tcPr>
          <w:p w14:paraId="550FB0B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&lt;500ms</w:t>
            </w:r>
          </w:p>
        </w:tc>
        <w:tc>
          <w:tcPr>
            <w:tcW w:w="1862" w:type="dxa"/>
          </w:tcPr>
          <w:p w14:paraId="55FC4AC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99%-99.9%</w:t>
            </w:r>
          </w:p>
        </w:tc>
        <w:tc>
          <w:tcPr>
            <w:tcW w:w="1862" w:type="dxa"/>
          </w:tcPr>
          <w:p w14:paraId="4ACE9C4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r>
      <w:tr w:rsidR="00A4689B" w:rsidRPr="00A4689B" w14:paraId="1CAD3A2A" w14:textId="77777777" w:rsidTr="002953BC">
        <w:tc>
          <w:tcPr>
            <w:tcW w:w="1861" w:type="dxa"/>
          </w:tcPr>
          <w:p w14:paraId="6E17676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Wearables</w:t>
            </w:r>
          </w:p>
        </w:tc>
        <w:tc>
          <w:tcPr>
            <w:tcW w:w="1861" w:type="dxa"/>
          </w:tcPr>
          <w:p w14:paraId="12E6FD64"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5-50Mbps in DL, 2-5Mbps in UL.</w:t>
            </w:r>
          </w:p>
          <w:p w14:paraId="42939B80" w14:textId="77777777" w:rsidR="00A4689B" w:rsidRPr="00A4689B" w:rsidRDefault="00A4689B" w:rsidP="00A4689B">
            <w:pPr>
              <w:spacing w:beforeLines="50" w:before="156" w:afterLines="50" w:after="156"/>
              <w:rPr>
                <w:rFonts w:ascii="Times New Roman" w:hAnsi="Times New Roman"/>
                <w:sz w:val="20"/>
                <w:szCs w:val="20"/>
                <w:lang w:val="en-GB"/>
              </w:rPr>
            </w:pPr>
            <w:proofErr w:type="gramStart"/>
            <w:r w:rsidRPr="00A4689B">
              <w:rPr>
                <w:rFonts w:ascii="Times New Roman" w:hAnsi="Times New Roman"/>
                <w:sz w:val="20"/>
                <w:szCs w:val="20"/>
                <w:lang w:val="en-GB"/>
              </w:rPr>
              <w:t>peak</w:t>
            </w:r>
            <w:proofErr w:type="gramEnd"/>
            <w:r w:rsidRPr="00A4689B">
              <w:rPr>
                <w:rFonts w:ascii="Times New Roman" w:hAnsi="Times New Roman"/>
                <w:sz w:val="20"/>
                <w:szCs w:val="20"/>
                <w:lang w:val="en-GB"/>
              </w:rPr>
              <w:t xml:space="preserve"> data rate &lt;=150Mbps in DL, &lt;=50Mbps in UL.</w:t>
            </w:r>
          </w:p>
        </w:tc>
        <w:tc>
          <w:tcPr>
            <w:tcW w:w="1861" w:type="dxa"/>
          </w:tcPr>
          <w:p w14:paraId="33C163D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1D2080AF"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02F56EED"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 1-2 weeks</w:t>
            </w:r>
          </w:p>
        </w:tc>
      </w:tr>
    </w:tbl>
    <w:p w14:paraId="3C9D1C5A" w14:textId="77777777" w:rsidR="00A4689B" w:rsidRPr="00A4689B" w:rsidRDefault="00A4689B" w:rsidP="00A4689B">
      <w:pPr>
        <w:spacing w:beforeLines="50" w:before="156" w:afterLines="50" w:after="156"/>
        <w:rPr>
          <w:rFonts w:ascii="Times New Roman" w:hAnsi="Times New Roman"/>
          <w:sz w:val="20"/>
          <w:szCs w:val="20"/>
          <w:lang w:val="en-GB"/>
        </w:rPr>
      </w:pPr>
    </w:p>
    <w:bookmarkEnd w:id="3"/>
    <w:p w14:paraId="725570EC"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Refer to the NR system, overload and access control are supported and the basic rule is to enable part of the access attempt to be allowed. There is no necessity to forbid to reuse the rule in NR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Then it is possible that parts of the use cases can be admitted to system in terms of network load situation or the UE traffic.</w:t>
      </w:r>
    </w:p>
    <w:p w14:paraId="52DA11D5" w14:textId="77777777" w:rsidR="00A4689B" w:rsidRPr="00704946"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Observation 1: The basic rules for access control in NR can be reused for NR </w:t>
      </w:r>
      <w:proofErr w:type="spellStart"/>
      <w:r w:rsidRPr="00704946">
        <w:rPr>
          <w:rFonts w:ascii="Times New Roman" w:eastAsia="等线" w:hAnsi="Times New Roman"/>
          <w:b/>
          <w:sz w:val="20"/>
          <w:szCs w:val="20"/>
        </w:rPr>
        <w:t>RedCap</w:t>
      </w:r>
      <w:proofErr w:type="spellEnd"/>
      <w:r w:rsidRPr="00704946">
        <w:rPr>
          <w:rFonts w:ascii="Times New Roman" w:eastAsia="等线" w:hAnsi="Times New Roman"/>
          <w:b/>
          <w:sz w:val="20"/>
          <w:szCs w:val="20"/>
        </w:rPr>
        <w:t>, e.g. enable part of the access attempt to be allowed.</w:t>
      </w:r>
    </w:p>
    <w:p w14:paraId="12EAFB3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Depending on different design and refer to NR, the network could control the access of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in different stages, including</w:t>
      </w:r>
    </w:p>
    <w:p w14:paraId="5BB4107F" w14:textId="77777777" w:rsidR="00A4689B" w:rsidRDefault="00A4689B" w:rsidP="00A4689B">
      <w:pPr>
        <w:pStyle w:val="a6"/>
        <w:numPr>
          <w:ilvl w:val="0"/>
          <w:numId w:val="25"/>
        </w:numPr>
        <w:overflowPunct/>
        <w:autoSpaceDE/>
        <w:autoSpaceDN/>
        <w:adjustRightInd/>
        <w:spacing w:after="0"/>
        <w:ind w:left="714" w:right="-96" w:firstLineChars="0" w:hanging="357"/>
        <w:textAlignment w:val="auto"/>
        <w:rPr>
          <w:lang w:eastAsia="zh-CN"/>
        </w:rPr>
      </w:pPr>
      <w:r>
        <w:rPr>
          <w:lang w:eastAsia="zh-CN"/>
        </w:rPr>
        <w:t>T</w:t>
      </w:r>
      <w:r w:rsidRPr="004F7F15">
        <w:rPr>
          <w:lang w:eastAsia="zh-CN"/>
        </w:rPr>
        <w:t xml:space="preserve">he </w:t>
      </w:r>
      <w:proofErr w:type="spellStart"/>
      <w:r w:rsidRPr="004F7F15">
        <w:rPr>
          <w:lang w:eastAsia="zh-CN"/>
        </w:rPr>
        <w:t>gNB</w:t>
      </w:r>
      <w:proofErr w:type="spellEnd"/>
      <w:r w:rsidRPr="004F7F15">
        <w:rPr>
          <w:lang w:eastAsia="zh-CN"/>
        </w:rPr>
        <w:t xml:space="preserve"> could control the UE access through</w:t>
      </w:r>
      <w:r>
        <w:rPr>
          <w:lang w:eastAsia="zh-CN"/>
        </w:rPr>
        <w:t xml:space="preserve"> an indication of UAC in</w:t>
      </w:r>
      <w:r w:rsidRPr="004F7F15">
        <w:rPr>
          <w:lang w:eastAsia="zh-CN"/>
        </w:rPr>
        <w:t xml:space="preserve"> </w:t>
      </w:r>
      <w:r>
        <w:rPr>
          <w:lang w:eastAsia="zh-CN"/>
        </w:rPr>
        <w:t xml:space="preserve">SIB. </w:t>
      </w:r>
    </w:p>
    <w:p w14:paraId="25E9B5B9" w14:textId="77777777" w:rsidR="00A4689B" w:rsidRDefault="00A4689B" w:rsidP="00A4689B">
      <w:pPr>
        <w:pStyle w:val="a6"/>
        <w:numPr>
          <w:ilvl w:val="0"/>
          <w:numId w:val="25"/>
        </w:numPr>
        <w:overflowPunct/>
        <w:autoSpaceDE/>
        <w:autoSpaceDN/>
        <w:adjustRightInd/>
        <w:spacing w:after="120"/>
        <w:ind w:left="714" w:right="-96" w:firstLineChars="0" w:hanging="357"/>
        <w:textAlignment w:val="auto"/>
        <w:rPr>
          <w:lang w:eastAsia="zh-CN"/>
        </w:rPr>
      </w:pPr>
      <w:r>
        <w:rPr>
          <w:lang w:eastAsia="zh-CN"/>
        </w:rPr>
        <w:t xml:space="preserve">The </w:t>
      </w:r>
      <w:proofErr w:type="spellStart"/>
      <w:r>
        <w:rPr>
          <w:lang w:eastAsia="zh-CN"/>
        </w:rPr>
        <w:t>gNB</w:t>
      </w:r>
      <w:proofErr w:type="spellEnd"/>
      <w:r>
        <w:rPr>
          <w:lang w:eastAsia="zh-CN"/>
        </w:rPr>
        <w:t xml:space="preserve"> could control the access of </w:t>
      </w:r>
      <w:proofErr w:type="spellStart"/>
      <w:r>
        <w:rPr>
          <w:lang w:eastAsia="zh-CN"/>
        </w:rPr>
        <w:t>RedCap</w:t>
      </w:r>
      <w:proofErr w:type="spellEnd"/>
      <w:r>
        <w:rPr>
          <w:lang w:eastAsia="zh-CN"/>
        </w:rPr>
        <w:t xml:space="preserve"> UEs during random access procedure, where if the Device type is identifiable, the </w:t>
      </w:r>
      <w:proofErr w:type="spellStart"/>
      <w:r>
        <w:rPr>
          <w:lang w:eastAsia="zh-CN"/>
        </w:rPr>
        <w:t>gNB</w:t>
      </w:r>
      <w:proofErr w:type="spellEnd"/>
      <w:r>
        <w:rPr>
          <w:lang w:eastAsia="zh-CN"/>
        </w:rPr>
        <w:t xml:space="preserve"> could put more restrictions on </w:t>
      </w:r>
      <w:proofErr w:type="spellStart"/>
      <w:r>
        <w:rPr>
          <w:lang w:eastAsia="zh-CN"/>
        </w:rPr>
        <w:t>RedCap</w:t>
      </w:r>
      <w:proofErr w:type="spellEnd"/>
      <w:r>
        <w:rPr>
          <w:lang w:eastAsia="zh-CN"/>
        </w:rPr>
        <w:t xml:space="preserve"> UEs in scheduling Msg2/Msg3/Msg4 for </w:t>
      </w:r>
      <w:proofErr w:type="spellStart"/>
      <w:r>
        <w:rPr>
          <w:lang w:eastAsia="zh-CN"/>
        </w:rPr>
        <w:t>RedCap</w:t>
      </w:r>
      <w:proofErr w:type="spellEnd"/>
      <w:r>
        <w:rPr>
          <w:lang w:eastAsia="zh-CN"/>
        </w:rPr>
        <w:t xml:space="preserve"> UEs.  </w:t>
      </w:r>
    </w:p>
    <w:p w14:paraId="11ED4F07" w14:textId="77777777" w:rsidR="00A4689B" w:rsidRPr="00704946"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Observation 2: The </w:t>
      </w:r>
      <w:proofErr w:type="spellStart"/>
      <w:r w:rsidRPr="00704946">
        <w:rPr>
          <w:rFonts w:ascii="Times New Roman" w:eastAsia="等线" w:hAnsi="Times New Roman"/>
          <w:b/>
          <w:sz w:val="20"/>
          <w:szCs w:val="20"/>
        </w:rPr>
        <w:t>gNB</w:t>
      </w:r>
      <w:proofErr w:type="spellEnd"/>
      <w:r w:rsidRPr="00704946">
        <w:rPr>
          <w:rFonts w:ascii="Times New Roman" w:eastAsia="等线" w:hAnsi="Times New Roman"/>
          <w:b/>
          <w:sz w:val="20"/>
          <w:szCs w:val="20"/>
        </w:rPr>
        <w:t xml:space="preserve"> could control the access of </w:t>
      </w:r>
      <w:proofErr w:type="spellStart"/>
      <w:r w:rsidRPr="00704946">
        <w:rPr>
          <w:rFonts w:ascii="Times New Roman" w:eastAsia="等线" w:hAnsi="Times New Roman"/>
          <w:b/>
          <w:sz w:val="20"/>
          <w:szCs w:val="20"/>
        </w:rPr>
        <w:t>RedCap</w:t>
      </w:r>
      <w:proofErr w:type="spellEnd"/>
      <w:r w:rsidRPr="00704946">
        <w:rPr>
          <w:rFonts w:ascii="Times New Roman" w:eastAsia="等线" w:hAnsi="Times New Roman"/>
          <w:b/>
          <w:sz w:val="20"/>
          <w:szCs w:val="20"/>
        </w:rPr>
        <w:t xml:space="preserve"> UEs in different stages during initial access, depending on different design.</w:t>
      </w:r>
    </w:p>
    <w:p w14:paraId="57FD8AB2"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The NR UAC similar procedure can realize the function of “partial barring” for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devices. However, some additional mechanism is needed to do “partial barring” for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devices e.g. including that the network broadcasts the barring control information associated to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traffics and the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 determines whether an access attempt is authorized based on the barring information broadcasted for the selected PLMN by performing access barring check for an access attempt.</w:t>
      </w:r>
    </w:p>
    <w:p w14:paraId="34BEAF9F"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Perform UAC similar procedure for the access attempt from a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 it can work well for the purpose of partial barring. However, the details are necessary to be discussed, for example what is the Access Category and Access Identity </w:t>
      </w:r>
      <w:r w:rsidRPr="00A4689B">
        <w:rPr>
          <w:rFonts w:ascii="Times New Roman" w:hAnsi="Times New Roman"/>
          <w:sz w:val="20"/>
          <w:szCs w:val="20"/>
          <w:lang w:val="en-GB"/>
        </w:rPr>
        <w:lastRenderedPageBreak/>
        <w:t>for the access attempt and what is the establishment cause.</w:t>
      </w:r>
    </w:p>
    <w:p w14:paraId="12644241" w14:textId="77777777" w:rsidR="00A4689B" w:rsidRPr="00704946"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sidRPr="00704946">
        <w:rPr>
          <w:rFonts w:ascii="Times New Roman" w:eastAsia="等线" w:hAnsi="Times New Roman" w:hint="eastAsia"/>
          <w:b/>
          <w:sz w:val="20"/>
          <w:szCs w:val="20"/>
        </w:rPr>
        <w:t>2</w:t>
      </w:r>
      <w:r w:rsidRPr="00704946">
        <w:rPr>
          <w:rFonts w:ascii="Times New Roman" w:eastAsia="等线" w:hAnsi="Times New Roman"/>
          <w:b/>
          <w:sz w:val="20"/>
          <w:szCs w:val="20"/>
        </w:rPr>
        <w:t xml:space="preserve">: Perform access barring check for the access attempt from a </w:t>
      </w:r>
      <w:proofErr w:type="spellStart"/>
      <w:r w:rsidRPr="00704946">
        <w:rPr>
          <w:rFonts w:ascii="Times New Roman" w:eastAsia="等线" w:hAnsi="Times New Roman"/>
          <w:b/>
          <w:sz w:val="20"/>
          <w:szCs w:val="20"/>
        </w:rPr>
        <w:t>RedCap</w:t>
      </w:r>
      <w:proofErr w:type="spellEnd"/>
      <w:r w:rsidRPr="00704946">
        <w:rPr>
          <w:rFonts w:ascii="Times New Roman" w:eastAsia="等线" w:hAnsi="Times New Roman"/>
          <w:b/>
          <w:sz w:val="20"/>
          <w:szCs w:val="20"/>
        </w:rPr>
        <w:t xml:space="preserve"> UE which can be similar with the UAC procedure in NR.</w:t>
      </w:r>
    </w:p>
    <w:p w14:paraId="2B4E62C6" w14:textId="6CDCBF7E" w:rsidR="00A4689B" w:rsidRPr="00704946"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Proposal 3: RAN2 is kindly requested to discuss the details o</w:t>
      </w:r>
      <w:r w:rsidR="00654B5B">
        <w:rPr>
          <w:rFonts w:ascii="Times New Roman" w:eastAsia="等线" w:hAnsi="Times New Roman"/>
          <w:b/>
          <w:sz w:val="20"/>
          <w:szCs w:val="20"/>
        </w:rPr>
        <w:t>n</w:t>
      </w:r>
      <w:r w:rsidRPr="00704946">
        <w:rPr>
          <w:rFonts w:ascii="Times New Roman" w:eastAsia="等线" w:hAnsi="Times New Roman"/>
          <w:b/>
          <w:sz w:val="20"/>
          <w:szCs w:val="20"/>
        </w:rPr>
        <w:t xml:space="preserve"> AI, AC and establishment cause when performing access barring check for the access attempt from a </w:t>
      </w:r>
      <w:proofErr w:type="spellStart"/>
      <w:r w:rsidRPr="00704946">
        <w:rPr>
          <w:rFonts w:ascii="Times New Roman" w:eastAsia="等线" w:hAnsi="Times New Roman"/>
          <w:b/>
          <w:sz w:val="20"/>
          <w:szCs w:val="20"/>
        </w:rPr>
        <w:t>RedCapUE</w:t>
      </w:r>
      <w:proofErr w:type="spellEnd"/>
      <w:r w:rsidRPr="00704946">
        <w:rPr>
          <w:rFonts w:ascii="Times New Roman" w:eastAsia="等线" w:hAnsi="Times New Roman"/>
          <w:b/>
          <w:sz w:val="20"/>
          <w:szCs w:val="20"/>
        </w:rPr>
        <w:t>.</w:t>
      </w:r>
    </w:p>
    <w:p w14:paraId="79301161" w14:textId="7FC55443"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For the access control in random access pro</w:t>
      </w:r>
      <w:r w:rsidR="00CD0571">
        <w:rPr>
          <w:rFonts w:ascii="Times New Roman" w:hAnsi="Times New Roman"/>
          <w:sz w:val="20"/>
          <w:szCs w:val="20"/>
          <w:lang w:val="en-GB"/>
        </w:rPr>
        <w:t xml:space="preserve">cedure, the </w:t>
      </w:r>
      <w:proofErr w:type="spellStart"/>
      <w:r w:rsidR="00CD0571">
        <w:rPr>
          <w:rFonts w:ascii="Times New Roman" w:hAnsi="Times New Roman"/>
          <w:sz w:val="20"/>
          <w:szCs w:val="20"/>
          <w:lang w:val="en-GB"/>
        </w:rPr>
        <w:t>gNB</w:t>
      </w:r>
      <w:proofErr w:type="spellEnd"/>
      <w:r w:rsidR="00CD0571">
        <w:rPr>
          <w:rFonts w:ascii="Times New Roman" w:hAnsi="Times New Roman"/>
          <w:sz w:val="20"/>
          <w:szCs w:val="20"/>
          <w:lang w:val="en-GB"/>
        </w:rPr>
        <w:t xml:space="preserve"> should get the d</w:t>
      </w:r>
      <w:r w:rsidRPr="00A4689B">
        <w:rPr>
          <w:rFonts w:ascii="Times New Roman" w:hAnsi="Times New Roman"/>
          <w:sz w:val="20"/>
          <w:szCs w:val="20"/>
          <w:lang w:val="en-GB"/>
        </w:rPr>
        <w:t xml:space="preserve">evice type early. If random access for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is configured in a dedicated initial BWP, naturally the </w:t>
      </w:r>
      <w:proofErr w:type="spellStart"/>
      <w:r w:rsidRPr="00A4689B">
        <w:rPr>
          <w:rFonts w:ascii="Times New Roman" w:hAnsi="Times New Roman"/>
          <w:sz w:val="20"/>
          <w:szCs w:val="20"/>
          <w:lang w:val="en-GB"/>
        </w:rPr>
        <w:t>gNB</w:t>
      </w:r>
      <w:proofErr w:type="spellEnd"/>
      <w:r w:rsidRPr="00A4689B">
        <w:rPr>
          <w:rFonts w:ascii="Times New Roman" w:hAnsi="Times New Roman"/>
          <w:sz w:val="20"/>
          <w:szCs w:val="20"/>
          <w:lang w:val="en-GB"/>
        </w:rPr>
        <w:t xml:space="preserve"> could identify the UE implicitly through the initial BWP where the Msg1 is detected. Otherwise the </w:t>
      </w:r>
      <w:proofErr w:type="spellStart"/>
      <w:r w:rsidRPr="00A4689B">
        <w:rPr>
          <w:rFonts w:ascii="Times New Roman" w:hAnsi="Times New Roman"/>
          <w:sz w:val="20"/>
          <w:szCs w:val="20"/>
          <w:lang w:val="en-GB"/>
        </w:rPr>
        <w:t>gNB</w:t>
      </w:r>
      <w:proofErr w:type="spellEnd"/>
      <w:r w:rsidRPr="00A4689B">
        <w:rPr>
          <w:rFonts w:ascii="Times New Roman" w:hAnsi="Times New Roman"/>
          <w:sz w:val="20"/>
          <w:szCs w:val="20"/>
          <w:lang w:val="en-GB"/>
        </w:rPr>
        <w:t xml:space="preserve"> should configure dedicated resources, e.g., PRACH occasions and/or preamble sequences for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in the same initial BWP with legacy UEs, if UE identification is through the detected Msg1. Correspondingly, Msg2 might be also dedicated for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as well, considering the scheduling restrictions for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and the potential Msg2 repetitions for coverage recovery. Besides identifying </w:t>
      </w:r>
      <w:proofErr w:type="spellStart"/>
      <w:r w:rsidRPr="00A4689B">
        <w:rPr>
          <w:rFonts w:ascii="Times New Roman" w:hAnsi="Times New Roman"/>
          <w:sz w:val="20"/>
          <w:szCs w:val="20"/>
          <w:lang w:val="en-GB"/>
        </w:rPr>
        <w:t>RedCap</w:t>
      </w:r>
      <w:proofErr w:type="spellEnd"/>
      <w:r w:rsidRPr="00A4689B">
        <w:rPr>
          <w:rFonts w:ascii="Times New Roman" w:hAnsi="Times New Roman"/>
          <w:sz w:val="20"/>
          <w:szCs w:val="20"/>
          <w:lang w:val="en-GB"/>
        </w:rPr>
        <w:t xml:space="preserve"> UEs through detecting Msg1, the UE identification could be through detection Msg3. In this case, </w:t>
      </w:r>
      <w:r w:rsidR="00014716">
        <w:rPr>
          <w:rFonts w:ascii="Times New Roman" w:hAnsi="Times New Roman"/>
          <w:sz w:val="20"/>
          <w:szCs w:val="20"/>
          <w:lang w:val="en-GB"/>
        </w:rPr>
        <w:t>d</w:t>
      </w:r>
      <w:bookmarkStart w:id="4" w:name="_GoBack"/>
      <w:bookmarkEnd w:id="4"/>
      <w:r w:rsidRPr="00A4689B">
        <w:rPr>
          <w:rFonts w:ascii="Times New Roman" w:hAnsi="Times New Roman"/>
          <w:sz w:val="20"/>
          <w:szCs w:val="20"/>
          <w:lang w:val="en-GB"/>
        </w:rPr>
        <w:t xml:space="preserve">evice type information shall be included in Msg3. </w:t>
      </w:r>
    </w:p>
    <w:p w14:paraId="250AE688" w14:textId="3C0CA2EB" w:rsidR="00EC2EBE" w:rsidRPr="00704946" w:rsidRDefault="00A4689B" w:rsidP="00AE6266">
      <w:pPr>
        <w:spacing w:beforeLines="50" w:before="156" w:afterLines="50" w:after="156"/>
        <w:rPr>
          <w:rFonts w:ascii="Times New Roman" w:hAnsi="Times New Roman"/>
          <w:b/>
          <w:sz w:val="20"/>
          <w:szCs w:val="20"/>
        </w:rPr>
      </w:pPr>
      <w:r w:rsidRPr="00704946">
        <w:rPr>
          <w:rFonts w:ascii="Times New Roman" w:eastAsia="等线" w:hAnsi="Times New Roman"/>
          <w:b/>
          <w:sz w:val="20"/>
          <w:szCs w:val="20"/>
        </w:rPr>
        <w:t>Proposal 4: RAN2 is kindly requested to study the feasibility of UE access control through RACH procedure.</w:t>
      </w:r>
    </w:p>
    <w:p w14:paraId="4FE3A827" w14:textId="77777777" w:rsidR="00931254" w:rsidRPr="008E22C9" w:rsidRDefault="00931254" w:rsidP="00931254">
      <w:pPr>
        <w:spacing w:afterLines="50" w:after="156"/>
        <w:rPr>
          <w:rFonts w:ascii="Times New Roman" w:hAnsi="Times New Roman"/>
          <w:b/>
          <w:sz w:val="20"/>
          <w:szCs w:val="20"/>
        </w:rPr>
      </w:pPr>
    </w:p>
    <w:p w14:paraId="6BB6B67C"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2"/>
    <w:p w14:paraId="5B83967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290EB7ED" w14:textId="77777777" w:rsidR="00BB25F2" w:rsidRPr="006B023A" w:rsidRDefault="00BB25F2" w:rsidP="006B023A">
      <w:pPr>
        <w:spacing w:beforeLines="50" w:before="156" w:afterLines="50" w:after="156"/>
        <w:rPr>
          <w:rFonts w:ascii="Times New Roman" w:hAnsi="Times New Roman"/>
          <w:sz w:val="20"/>
          <w:szCs w:val="20"/>
          <w:lang w:val="en-GB"/>
        </w:rPr>
      </w:pPr>
      <w:r w:rsidRPr="006B023A">
        <w:rPr>
          <w:rFonts w:ascii="Times New Roman" w:hAnsi="Times New Roman"/>
          <w:sz w:val="20"/>
          <w:szCs w:val="20"/>
          <w:lang w:val="en-GB"/>
        </w:rPr>
        <w:t xml:space="preserve">As a summary, we have the following observations and proposals on the access restriction and principles for </w:t>
      </w:r>
      <w:proofErr w:type="spellStart"/>
      <w:r w:rsidRPr="006B023A">
        <w:rPr>
          <w:rFonts w:ascii="Times New Roman" w:hAnsi="Times New Roman"/>
          <w:sz w:val="20"/>
          <w:szCs w:val="20"/>
          <w:lang w:val="en-GB"/>
        </w:rPr>
        <w:t>RedCap</w:t>
      </w:r>
      <w:proofErr w:type="spellEnd"/>
      <w:r w:rsidRPr="006B023A">
        <w:rPr>
          <w:rFonts w:ascii="Times New Roman" w:hAnsi="Times New Roman"/>
          <w:sz w:val="20"/>
          <w:szCs w:val="20"/>
          <w:lang w:val="en-GB"/>
        </w:rPr>
        <w:t xml:space="preserve"> UE,</w:t>
      </w:r>
    </w:p>
    <w:p w14:paraId="34B2D5B7" w14:textId="77777777"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 xml:space="preserve">Observation 1: The basic rules for access control in NR can be reused for NR </w:t>
      </w:r>
      <w:proofErr w:type="spellStart"/>
      <w:r w:rsidRPr="006B023A">
        <w:rPr>
          <w:rFonts w:ascii="Times New Roman" w:hAnsi="Times New Roman"/>
          <w:b/>
          <w:sz w:val="20"/>
          <w:szCs w:val="20"/>
          <w:lang w:val="en-GB"/>
        </w:rPr>
        <w:t>RedCap</w:t>
      </w:r>
      <w:proofErr w:type="spellEnd"/>
      <w:r w:rsidRPr="006B023A">
        <w:rPr>
          <w:rFonts w:ascii="Times New Roman" w:hAnsi="Times New Roman"/>
          <w:b/>
          <w:sz w:val="20"/>
          <w:szCs w:val="20"/>
          <w:lang w:val="en-GB"/>
        </w:rPr>
        <w:t>, e.g. enable part of the access attempt to be allowed.</w:t>
      </w:r>
    </w:p>
    <w:p w14:paraId="4BBDA66C" w14:textId="77777777"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 xml:space="preserve">Observation 2: The </w:t>
      </w:r>
      <w:proofErr w:type="spellStart"/>
      <w:r w:rsidRPr="006B023A">
        <w:rPr>
          <w:rFonts w:ascii="Times New Roman" w:hAnsi="Times New Roman"/>
          <w:b/>
          <w:sz w:val="20"/>
          <w:szCs w:val="20"/>
          <w:lang w:val="en-GB"/>
        </w:rPr>
        <w:t>gNB</w:t>
      </w:r>
      <w:proofErr w:type="spellEnd"/>
      <w:r w:rsidRPr="006B023A">
        <w:rPr>
          <w:rFonts w:ascii="Times New Roman" w:hAnsi="Times New Roman"/>
          <w:b/>
          <w:sz w:val="20"/>
          <w:szCs w:val="20"/>
          <w:lang w:val="en-GB"/>
        </w:rPr>
        <w:t xml:space="preserve"> could control the access of </w:t>
      </w:r>
      <w:proofErr w:type="spellStart"/>
      <w:r w:rsidRPr="006B023A">
        <w:rPr>
          <w:rFonts w:ascii="Times New Roman" w:hAnsi="Times New Roman"/>
          <w:b/>
          <w:sz w:val="20"/>
          <w:szCs w:val="20"/>
          <w:lang w:val="en-GB"/>
        </w:rPr>
        <w:t>RedCap</w:t>
      </w:r>
      <w:proofErr w:type="spellEnd"/>
      <w:r w:rsidRPr="006B023A">
        <w:rPr>
          <w:rFonts w:ascii="Times New Roman" w:hAnsi="Times New Roman"/>
          <w:b/>
          <w:sz w:val="20"/>
          <w:szCs w:val="20"/>
          <w:lang w:val="en-GB"/>
        </w:rPr>
        <w:t xml:space="preserve"> UEs in different stages during initial access, depending on different design.</w:t>
      </w:r>
    </w:p>
    <w:p w14:paraId="45A64803" w14:textId="77777777"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 xml:space="preserve">Proposal 1: Restriction for all </w:t>
      </w:r>
      <w:proofErr w:type="spellStart"/>
      <w:r w:rsidRPr="006B023A">
        <w:rPr>
          <w:rFonts w:ascii="Times New Roman" w:hAnsi="Times New Roman"/>
          <w:b/>
          <w:sz w:val="20"/>
          <w:szCs w:val="20"/>
          <w:lang w:val="en-GB"/>
        </w:rPr>
        <w:t>RedCap</w:t>
      </w:r>
      <w:proofErr w:type="spellEnd"/>
      <w:r w:rsidRPr="006B023A">
        <w:rPr>
          <w:rFonts w:ascii="Times New Roman" w:hAnsi="Times New Roman"/>
          <w:b/>
          <w:sz w:val="20"/>
          <w:szCs w:val="20"/>
          <w:lang w:val="en-GB"/>
        </w:rPr>
        <w:t xml:space="preserve"> devices accessing to a cell is supported by broadcasting a separate </w:t>
      </w:r>
      <w:proofErr w:type="spellStart"/>
      <w:r w:rsidRPr="006B023A">
        <w:rPr>
          <w:rFonts w:ascii="Times New Roman" w:hAnsi="Times New Roman"/>
          <w:b/>
          <w:sz w:val="20"/>
          <w:szCs w:val="20"/>
          <w:lang w:val="en-GB"/>
        </w:rPr>
        <w:t>cellbarred</w:t>
      </w:r>
      <w:proofErr w:type="spellEnd"/>
      <w:r w:rsidRPr="006B023A">
        <w:rPr>
          <w:rFonts w:ascii="Times New Roman" w:hAnsi="Times New Roman" w:hint="eastAsia"/>
          <w:b/>
          <w:sz w:val="20"/>
          <w:szCs w:val="20"/>
          <w:lang w:val="en-GB"/>
        </w:rPr>
        <w:t>-</w:t>
      </w:r>
      <w:r w:rsidRPr="006B023A">
        <w:rPr>
          <w:rFonts w:ascii="Times New Roman" w:hAnsi="Times New Roman"/>
          <w:b/>
          <w:sz w:val="20"/>
          <w:szCs w:val="20"/>
          <w:lang w:val="en-GB"/>
        </w:rPr>
        <w:t xml:space="preserve">like IE for </w:t>
      </w:r>
      <w:proofErr w:type="spellStart"/>
      <w:r w:rsidRPr="006B023A">
        <w:rPr>
          <w:rFonts w:ascii="Times New Roman" w:hAnsi="Times New Roman"/>
          <w:b/>
          <w:sz w:val="20"/>
          <w:szCs w:val="20"/>
          <w:lang w:val="en-GB"/>
        </w:rPr>
        <w:t>RedCap</w:t>
      </w:r>
      <w:proofErr w:type="spellEnd"/>
      <w:r w:rsidRPr="006B023A">
        <w:rPr>
          <w:rFonts w:ascii="Times New Roman" w:hAnsi="Times New Roman"/>
          <w:b/>
          <w:sz w:val="20"/>
          <w:szCs w:val="20"/>
          <w:lang w:val="en-GB"/>
        </w:rPr>
        <w:t xml:space="preserve"> devices.</w:t>
      </w:r>
    </w:p>
    <w:p w14:paraId="17257F92" w14:textId="77777777"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 xml:space="preserve">Proposal </w:t>
      </w:r>
      <w:r w:rsidRPr="006B023A">
        <w:rPr>
          <w:rFonts w:ascii="Times New Roman" w:hAnsi="Times New Roman" w:hint="eastAsia"/>
          <w:b/>
          <w:sz w:val="20"/>
          <w:szCs w:val="20"/>
          <w:lang w:val="en-GB"/>
        </w:rPr>
        <w:t>2</w:t>
      </w:r>
      <w:r w:rsidRPr="006B023A">
        <w:rPr>
          <w:rFonts w:ascii="Times New Roman" w:hAnsi="Times New Roman"/>
          <w:b/>
          <w:sz w:val="20"/>
          <w:szCs w:val="20"/>
          <w:lang w:val="en-GB"/>
        </w:rPr>
        <w:t xml:space="preserve">: Perform access barring check for the access attempt from a </w:t>
      </w:r>
      <w:proofErr w:type="spellStart"/>
      <w:r w:rsidRPr="006B023A">
        <w:rPr>
          <w:rFonts w:ascii="Times New Roman" w:hAnsi="Times New Roman"/>
          <w:b/>
          <w:sz w:val="20"/>
          <w:szCs w:val="20"/>
          <w:lang w:val="en-GB"/>
        </w:rPr>
        <w:t>RedCap</w:t>
      </w:r>
      <w:proofErr w:type="spellEnd"/>
      <w:r w:rsidRPr="006B023A">
        <w:rPr>
          <w:rFonts w:ascii="Times New Roman" w:hAnsi="Times New Roman"/>
          <w:b/>
          <w:sz w:val="20"/>
          <w:szCs w:val="20"/>
          <w:lang w:val="en-GB"/>
        </w:rPr>
        <w:t xml:space="preserve"> UE which can be similar with the UAC procedure in NR.</w:t>
      </w:r>
    </w:p>
    <w:p w14:paraId="149BCDC5" w14:textId="271F9CE6"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Proposal 3: RAN2 is kindly requested to discuss the details o</w:t>
      </w:r>
      <w:r w:rsidR="00654B5B">
        <w:rPr>
          <w:rFonts w:ascii="Times New Roman" w:hAnsi="Times New Roman"/>
          <w:b/>
          <w:sz w:val="20"/>
          <w:szCs w:val="20"/>
          <w:lang w:val="en-GB"/>
        </w:rPr>
        <w:t>n</w:t>
      </w:r>
      <w:r w:rsidRPr="006B023A">
        <w:rPr>
          <w:rFonts w:ascii="Times New Roman" w:hAnsi="Times New Roman"/>
          <w:b/>
          <w:sz w:val="20"/>
          <w:szCs w:val="20"/>
          <w:lang w:val="en-GB"/>
        </w:rPr>
        <w:t xml:space="preserve"> AI, AC and establishment cause when performing access barring check for the access attempt from a </w:t>
      </w:r>
      <w:proofErr w:type="spellStart"/>
      <w:r w:rsidRPr="006B023A">
        <w:rPr>
          <w:rFonts w:ascii="Times New Roman" w:hAnsi="Times New Roman"/>
          <w:b/>
          <w:sz w:val="20"/>
          <w:szCs w:val="20"/>
          <w:lang w:val="en-GB"/>
        </w:rPr>
        <w:t>RedCapUE</w:t>
      </w:r>
      <w:proofErr w:type="spellEnd"/>
      <w:r w:rsidRPr="006B023A">
        <w:rPr>
          <w:rFonts w:ascii="Times New Roman" w:hAnsi="Times New Roman"/>
          <w:b/>
          <w:sz w:val="20"/>
          <w:szCs w:val="20"/>
          <w:lang w:val="en-GB"/>
        </w:rPr>
        <w:t>.</w:t>
      </w:r>
    </w:p>
    <w:p w14:paraId="3831CE37" w14:textId="77777777" w:rsidR="00BB25F2" w:rsidRPr="006B023A" w:rsidRDefault="00BB25F2" w:rsidP="006B023A">
      <w:pPr>
        <w:spacing w:beforeLines="50" w:before="156" w:afterLines="50" w:after="156"/>
        <w:rPr>
          <w:rFonts w:ascii="Times New Roman" w:hAnsi="Times New Roman"/>
          <w:b/>
          <w:sz w:val="20"/>
          <w:szCs w:val="20"/>
          <w:lang w:val="en-GB"/>
        </w:rPr>
      </w:pPr>
      <w:r w:rsidRPr="006B023A">
        <w:rPr>
          <w:rFonts w:ascii="Times New Roman" w:hAnsi="Times New Roman"/>
          <w:b/>
          <w:sz w:val="20"/>
          <w:szCs w:val="20"/>
          <w:lang w:val="en-GB"/>
        </w:rPr>
        <w:t>Proposal 4: RAN2 is kindly requested to study the feasibility of UE access control through RACH procedure.</w:t>
      </w:r>
    </w:p>
    <w:p w14:paraId="551FFAFB" w14:textId="77777777" w:rsidR="00CC607B" w:rsidRPr="00F4401A" w:rsidRDefault="00CC607B" w:rsidP="00233CF2">
      <w:pPr>
        <w:spacing w:afterLines="50" w:after="156"/>
        <w:rPr>
          <w:rFonts w:ascii="Times New Roman" w:hAnsi="Times New Roman"/>
          <w:b/>
          <w:sz w:val="20"/>
          <w:szCs w:val="20"/>
          <w:lang w:val="en-GB"/>
        </w:rPr>
      </w:pPr>
    </w:p>
    <w:p w14:paraId="46EC4F8B"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72B45199" w14:textId="2277F619" w:rsidR="00B62B5A" w:rsidRDefault="00B62B5A" w:rsidP="00B62B5A">
      <w:pPr>
        <w:pStyle w:val="References"/>
        <w:rPr>
          <w:lang w:eastAsia="zh-CN"/>
        </w:rPr>
      </w:pPr>
      <w:r w:rsidRPr="00A85C7F">
        <w:rPr>
          <w:rFonts w:eastAsia="等线"/>
          <w:szCs w:val="20"/>
          <w:lang w:eastAsia="zh-CN"/>
        </w:rPr>
        <w:t>RP-</w:t>
      </w:r>
      <w:r>
        <w:rPr>
          <w:rFonts w:eastAsia="等线"/>
          <w:szCs w:val="20"/>
          <w:lang w:eastAsia="zh-CN"/>
        </w:rPr>
        <w:t>2013</w:t>
      </w:r>
      <w:r>
        <w:rPr>
          <w:rFonts w:eastAsia="等线" w:hint="eastAsia"/>
          <w:szCs w:val="20"/>
          <w:lang w:eastAsia="zh-CN"/>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rPr>
          <w:szCs w:val="20"/>
          <w:lang w:eastAsia="zh-CN"/>
        </w:rPr>
        <w:t>ZTE Corporation</w:t>
      </w:r>
      <w:r w:rsidRPr="000114BC">
        <w:rPr>
          <w:rFonts w:hint="eastAsia"/>
        </w:rPr>
        <w:t>, RAN#</w:t>
      </w:r>
      <w:r>
        <w:rPr>
          <w:lang w:eastAsia="zh-CN"/>
        </w:rPr>
        <w:t>88e.</w:t>
      </w:r>
    </w:p>
    <w:p w14:paraId="25F6460B" w14:textId="73E2414B" w:rsidR="002E4027" w:rsidRPr="00365EAC" w:rsidRDefault="00C018C1" w:rsidP="00C018C1">
      <w:pPr>
        <w:pStyle w:val="References"/>
      </w:pPr>
      <w:r w:rsidRPr="00C018C1">
        <w:t>R2-2007480</w:t>
      </w:r>
      <w:r w:rsidR="00365EAC">
        <w:t>, “</w:t>
      </w:r>
      <w:r w:rsidRPr="00C018C1">
        <w:t>Discussion on the identification of Redcap</w:t>
      </w:r>
      <w:r w:rsidR="00365EAC">
        <w:t xml:space="preserve">”, </w:t>
      </w:r>
      <w:r w:rsidR="00365EAC" w:rsidRPr="005C1756">
        <w:rPr>
          <w:rFonts w:eastAsia="等线"/>
          <w:szCs w:val="20"/>
        </w:rPr>
        <w:t>Lenovo, Motorola Mobility</w:t>
      </w:r>
      <w:r w:rsidR="00365EAC">
        <w:rPr>
          <w:rFonts w:eastAsia="等线"/>
          <w:szCs w:val="20"/>
        </w:rPr>
        <w:t>, RAN1#102.</w:t>
      </w:r>
    </w:p>
    <w:sectPr w:rsidR="002E4027" w:rsidRPr="00365EA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D7FD3" w14:textId="77777777" w:rsidR="00473AD0" w:rsidRDefault="00473AD0">
      <w:r>
        <w:separator/>
      </w:r>
    </w:p>
  </w:endnote>
  <w:endnote w:type="continuationSeparator" w:id="0">
    <w:p w14:paraId="1B14A93F" w14:textId="77777777" w:rsidR="00473AD0" w:rsidRDefault="0047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6081" w14:textId="6C5852C7" w:rsidR="00521540" w:rsidRDefault="00521540"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716">
      <w:rPr>
        <w:rFonts w:ascii="Arial" w:hAnsi="Arial" w:cs="Arial"/>
        <w:b/>
        <w:noProof/>
        <w:sz w:val="18"/>
        <w:szCs w:val="18"/>
      </w:rPr>
      <w:t>3</w:t>
    </w:r>
    <w:r>
      <w:rPr>
        <w:rFonts w:ascii="Arial" w:hAnsi="Arial" w:cs="Arial"/>
        <w:b/>
        <w:sz w:val="18"/>
        <w:szCs w:val="18"/>
      </w:rPr>
      <w:fldChar w:fldCharType="end"/>
    </w:r>
  </w:p>
  <w:p w14:paraId="304130CC" w14:textId="77777777" w:rsidR="00521540" w:rsidRDefault="005215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24513" w14:textId="77777777" w:rsidR="00473AD0" w:rsidRDefault="00473AD0">
      <w:r>
        <w:separator/>
      </w:r>
    </w:p>
  </w:footnote>
  <w:footnote w:type="continuationSeparator" w:id="0">
    <w:p w14:paraId="4D669DF6" w14:textId="77777777" w:rsidR="00473AD0" w:rsidRDefault="00473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992B09"/>
    <w:multiLevelType w:val="hybridMultilevel"/>
    <w:tmpl w:val="65328C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2"/>
  </w:num>
  <w:num w:numId="4">
    <w:abstractNumId w:val="3"/>
  </w:num>
  <w:num w:numId="5">
    <w:abstractNumId w:val="23"/>
  </w:num>
  <w:num w:numId="6">
    <w:abstractNumId w:val="8"/>
  </w:num>
  <w:num w:numId="7">
    <w:abstractNumId w:val="5"/>
  </w:num>
  <w:num w:numId="8">
    <w:abstractNumId w:val="18"/>
  </w:num>
  <w:num w:numId="9">
    <w:abstractNumId w:val="4"/>
  </w:num>
  <w:num w:numId="10">
    <w:abstractNumId w:val="13"/>
  </w:num>
  <w:num w:numId="11">
    <w:abstractNumId w:val="15"/>
  </w:num>
  <w:num w:numId="12">
    <w:abstractNumId w:val="11"/>
  </w:num>
  <w:num w:numId="13">
    <w:abstractNumId w:val="16"/>
  </w:num>
  <w:num w:numId="14">
    <w:abstractNumId w:val="7"/>
  </w:num>
  <w:num w:numId="15">
    <w:abstractNumId w:val="1"/>
  </w:num>
  <w:num w:numId="16">
    <w:abstractNumId w:val="12"/>
  </w:num>
  <w:num w:numId="17">
    <w:abstractNumId w:val="20"/>
  </w:num>
  <w:num w:numId="18">
    <w:abstractNumId w:val="14"/>
  </w:num>
  <w:num w:numId="19">
    <w:abstractNumId w:val="20"/>
  </w:num>
  <w:num w:numId="20">
    <w:abstractNumId w:val="19"/>
  </w:num>
  <w:num w:numId="21">
    <w:abstractNumId w:val="20"/>
  </w:num>
  <w:num w:numId="22">
    <w:abstractNumId w:val="17"/>
  </w:num>
  <w:num w:numId="23">
    <w:abstractNumId w:val="6"/>
  </w:num>
  <w:num w:numId="24">
    <w:abstractNumId w:val="21"/>
  </w:num>
  <w:num w:numId="25">
    <w:abstractNumId w:val="9"/>
  </w:num>
  <w:num w:numId="26">
    <w:abstractNumId w:val="2"/>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4716"/>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9A2"/>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2F86"/>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50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5EAC"/>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73F"/>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B4B"/>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AD0"/>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D86"/>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0E2"/>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B5B"/>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23A"/>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4EF"/>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4946"/>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5B5"/>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573"/>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16"/>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10D"/>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89B"/>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266"/>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FFD"/>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5F2"/>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18C1"/>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51B"/>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ADC"/>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571"/>
    <w:rsid w:val="00CD163A"/>
    <w:rsid w:val="00CD2850"/>
    <w:rsid w:val="00CD3167"/>
    <w:rsid w:val="00CD3256"/>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106"/>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02F4"/>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6"/>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2EBE"/>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070"/>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6DBE"/>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4BC1"/>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D5C67D"/>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character" w:customStyle="1" w:styleId="12">
    <w:name w:val="列出段落 字符1"/>
    <w:aliases w:val="- Bullets 字符1,목록 단락 字符1,リスト段落 字符1,Lista1 字符1,?? ?? 字符1,????? 字符1,???? 字符1,列出段落1 字符1,中等深浅网格 1 - 着色 21 字符1"/>
    <w:uiPriority w:val="34"/>
    <w:locked/>
    <w:rsid w:val="00527D8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08FC5-F95E-4DE7-962C-012DCC2ED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6</cp:revision>
  <cp:lastPrinted>2012-10-30T00:20:00Z</cp:lastPrinted>
  <dcterms:created xsi:type="dcterms:W3CDTF">2020-08-07T02:45:00Z</dcterms:created>
  <dcterms:modified xsi:type="dcterms:W3CDTF">2020-08-07T03:00:00Z</dcterms:modified>
</cp:coreProperties>
</file>